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8" w:type="dxa"/>
        <w:tblLook w:val="0000"/>
      </w:tblPr>
      <w:tblGrid>
        <w:gridCol w:w="4143"/>
        <w:gridCol w:w="1516"/>
        <w:gridCol w:w="4061"/>
      </w:tblGrid>
      <w:tr w:rsidR="00A11F34" w:rsidRPr="00A11F34" w:rsidTr="00A11F34">
        <w:trPr>
          <w:trHeight w:val="1065"/>
        </w:trPr>
        <w:tc>
          <w:tcPr>
            <w:tcW w:w="4143" w:type="dxa"/>
            <w:tcBorders>
              <w:bottom w:val="triple" w:sz="4" w:space="0" w:color="auto"/>
            </w:tcBorders>
          </w:tcPr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БАШКОРТОСТАН </w:t>
            </w:r>
            <w:r w:rsidRPr="00A11F34">
              <w:rPr>
                <w:rFonts w:ascii="Times New Roman" w:hAnsi="Times New Roman" w:cs="Times New Roman"/>
                <w:b/>
              </w:rPr>
              <w:t>РЕСПУБЛИКА</w:t>
            </w:r>
            <w:proofErr w:type="gramStart"/>
            <w:r w:rsidRPr="00A11F34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A11F34">
              <w:rPr>
                <w:rFonts w:ascii="Times New Roman" w:hAnsi="Times New Roman" w:cs="Times New Roman"/>
                <w:b/>
              </w:rPr>
              <w:t>Ы БЛАГОВЕЩЕН РАЙОНЫ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</w:rPr>
              <w:t>МУНИЦИПАЛЬ РАЙОНЫНЫҢ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</w:rPr>
              <w:t>ВОЛКОВ АУЫЛ СОВЕТЫ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</w:rPr>
              <w:t>АУЫЛ  БИЛӘМӘҺЕ ХАКИМИӘТЕ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117475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6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tcBorders>
              <w:bottom w:val="triple" w:sz="4" w:space="0" w:color="auto"/>
            </w:tcBorders>
          </w:tcPr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A11F34">
              <w:rPr>
                <w:rFonts w:ascii="Times New Roman" w:hAnsi="Times New Roman" w:cs="Times New Roman"/>
                <w:b/>
              </w:rPr>
              <w:t>СЕЛЬСКОГО ПОСЕЛЕНИЯ ВОЛКОВСКИЙСЕЛЬСОВЕТ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</w:rPr>
              <w:t>МУНИЦИПАЛЬН</w:t>
            </w:r>
            <w:r>
              <w:rPr>
                <w:rFonts w:ascii="Times New Roman" w:hAnsi="Times New Roman" w:cs="Times New Roman"/>
                <w:b/>
              </w:rPr>
              <w:t xml:space="preserve">ОГОРАЙОНА БЛАГОВЕЩЕНСКИЙ РАЙОН </w:t>
            </w:r>
            <w:r w:rsidRPr="00A11F34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34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ПОСТАНОВЛЕНИЕ</w:t>
      </w: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>27 декабрь  2019й.                 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11F34">
        <w:rPr>
          <w:rFonts w:ascii="Times New Roman" w:hAnsi="Times New Roman" w:cs="Times New Roman"/>
          <w:sz w:val="28"/>
          <w:szCs w:val="28"/>
        </w:rPr>
        <w:t xml:space="preserve">                   27 декабря  2019г.</w:t>
      </w: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A501E5" w:rsidRDefault="00C23D72" w:rsidP="00A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Об утверждении Стандарта осуществления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r w:rsidR="009976AA" w:rsidRPr="00A11F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24D7" w:rsidRPr="00A11F34">
        <w:rPr>
          <w:rFonts w:ascii="Times New Roman" w:hAnsi="Times New Roman" w:cs="Times New Roman"/>
          <w:bCs/>
          <w:sz w:val="28"/>
          <w:szCs w:val="28"/>
        </w:rPr>
        <w:t xml:space="preserve"> Волковский сельсовет муниципального района Благовещенский район</w:t>
      </w:r>
      <w:r w:rsidR="00F20DB4" w:rsidRPr="00A11F3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3124D7" w:rsidRPr="00A11F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Администрации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Волковский сельсовет</w:t>
      </w:r>
      <w:r w:rsidRPr="00A11F34">
        <w:rPr>
          <w:rFonts w:ascii="Times New Roman" w:hAnsi="Times New Roman" w:cs="Times New Roman"/>
          <w:sz w:val="28"/>
          <w:szCs w:val="28"/>
        </w:rPr>
        <w:t xml:space="preserve"> от </w:t>
      </w:r>
      <w:r w:rsidR="00A11F34" w:rsidRPr="00A11F34">
        <w:rPr>
          <w:rFonts w:ascii="Times New Roman" w:hAnsi="Times New Roman" w:cs="Times New Roman"/>
          <w:sz w:val="28"/>
          <w:szCs w:val="28"/>
        </w:rPr>
        <w:t>27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A11F34" w:rsidRPr="00A11F34">
        <w:rPr>
          <w:rFonts w:ascii="Times New Roman" w:hAnsi="Times New Roman" w:cs="Times New Roman"/>
          <w:sz w:val="28"/>
          <w:szCs w:val="28"/>
        </w:rPr>
        <w:t>12</w:t>
      </w:r>
      <w:r w:rsidRPr="00A11F34">
        <w:rPr>
          <w:rFonts w:ascii="Times New Roman" w:hAnsi="Times New Roman" w:cs="Times New Roman"/>
          <w:sz w:val="28"/>
          <w:szCs w:val="28"/>
        </w:rPr>
        <w:t>.201</w:t>
      </w:r>
      <w:r w:rsidR="009976AA" w:rsidRPr="00A11F34">
        <w:rPr>
          <w:rFonts w:ascii="Times New Roman" w:hAnsi="Times New Roman" w:cs="Times New Roman"/>
          <w:sz w:val="28"/>
          <w:szCs w:val="28"/>
        </w:rPr>
        <w:t>9</w:t>
      </w:r>
      <w:r w:rsidRPr="00A11F34">
        <w:rPr>
          <w:rFonts w:ascii="Times New Roman" w:hAnsi="Times New Roman" w:cs="Times New Roman"/>
          <w:sz w:val="28"/>
          <w:szCs w:val="28"/>
        </w:rPr>
        <w:t xml:space="preserve"> № </w:t>
      </w:r>
      <w:r w:rsidR="00A11F34" w:rsidRPr="00A11F34">
        <w:rPr>
          <w:rFonts w:ascii="Times New Roman" w:hAnsi="Times New Roman" w:cs="Times New Roman"/>
          <w:sz w:val="28"/>
          <w:szCs w:val="28"/>
        </w:rPr>
        <w:t>53</w:t>
      </w:r>
      <w:r w:rsidRPr="00A11F34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Волковский сельсовет</w:t>
      </w:r>
      <w:r w:rsidRPr="00A11F34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</w:t>
      </w:r>
      <w:r w:rsidR="00CB7C6F">
        <w:rPr>
          <w:rFonts w:ascii="Times New Roman" w:hAnsi="Times New Roman" w:cs="Times New Roman"/>
          <w:sz w:val="28"/>
          <w:szCs w:val="28"/>
        </w:rPr>
        <w:t>пальному финансовому контролю»</w:t>
      </w:r>
    </w:p>
    <w:p w:rsidR="00C23D72" w:rsidRPr="00A11F34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CB7C6F" w:rsidRDefault="00C23D72" w:rsidP="00CB7C6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C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23D72" w:rsidRPr="00A11F34" w:rsidRDefault="00C23D72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  <w:t>1.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Pr="00A11F34">
        <w:rPr>
          <w:rFonts w:ascii="Times New Roman" w:hAnsi="Times New Roman" w:cs="Times New Roman"/>
          <w:sz w:val="28"/>
          <w:szCs w:val="28"/>
        </w:rPr>
        <w:t xml:space="preserve">Утвердить Стандарт осуществления внутреннего муниципального финансового контроля Администрацией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Волковский</w:t>
      </w:r>
      <w:r w:rsidRPr="00A11F34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</w:r>
      <w:r w:rsidR="009976AA" w:rsidRPr="00A11F34">
        <w:rPr>
          <w:rFonts w:ascii="Times New Roman" w:hAnsi="Times New Roman" w:cs="Times New Roman"/>
          <w:sz w:val="28"/>
          <w:szCs w:val="28"/>
        </w:rPr>
        <w:t>2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Pr="00A11F3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</w:r>
      <w:r w:rsidR="009976AA" w:rsidRPr="00A11F34">
        <w:rPr>
          <w:rFonts w:ascii="Times New Roman" w:hAnsi="Times New Roman" w:cs="Times New Roman"/>
          <w:sz w:val="28"/>
          <w:szCs w:val="28"/>
        </w:rPr>
        <w:t>3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F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1F3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3D72" w:rsidRPr="00A11F34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Г.Р. Карамова</w:t>
      </w:r>
    </w:p>
    <w:p w:rsidR="00C23D72" w:rsidRPr="00A501E5" w:rsidRDefault="00C23D72" w:rsidP="00A5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76AA" w:rsidRDefault="009976AA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A11F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D72" w:rsidRDefault="00C23D72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C23D72" w:rsidRPr="00AE3CB9" w:rsidRDefault="009976AA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Волковский сельсовет МР Благовещенский район Республики Башкортостан</w:t>
      </w:r>
    </w:p>
    <w:p w:rsidR="00C23D72" w:rsidRPr="00AE3CB9" w:rsidRDefault="00C23D72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 </w:t>
      </w:r>
      <w:r w:rsidR="00CB7C6F">
        <w:rPr>
          <w:rFonts w:ascii="Times New Roman" w:hAnsi="Times New Roman" w:cs="Times New Roman"/>
          <w:sz w:val="24"/>
          <w:szCs w:val="24"/>
        </w:rPr>
        <w:t>27.12.2019 г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CB7C6F">
        <w:rPr>
          <w:rFonts w:ascii="Times New Roman" w:hAnsi="Times New Roman" w:cs="Times New Roman"/>
          <w:sz w:val="24"/>
          <w:szCs w:val="24"/>
        </w:rPr>
        <w:t>54</w:t>
      </w: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 w:rsidR="009976A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Волковский сельсовет муниципального района Благовещенский район Республики Башкортостан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 организации и осуществлении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 w:rsidR="00F20D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23D72" w:rsidRPr="00AE3CB9" w:rsidRDefault="00C23D72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рабочая документация - документы и иные материалы, содержащие зафиксированную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3.1. Контрольные мероприятия подразделяется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3D72" w:rsidRPr="00AE3CB9" w:rsidRDefault="00C23D72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предыдущих лет;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В контрольном мероприятии не имеют права принимать участие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proofErr w:type="gramStart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Общие положения о проведении контрольного </w:t>
      </w:r>
      <w:proofErr w:type="gramEnd"/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оформлении</w:t>
      </w:r>
      <w:proofErr w:type="gramEnd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его результатов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5.2. Этап проведения контрольного мероприятия и оформления его результатов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предусматривает следующие действия и сроки их выполнения.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5.7. В ходе проведения контрольного мероприятия и до принятия решения по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контрольного мероприятия руководитель проверочной группы ежедневно осуществляет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Волковский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lastRenderedPageBreak/>
        <w:t>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C23D72" w:rsidRPr="00AE3CB9" w:rsidRDefault="00C23D72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F20DB4"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решение, в срок не более 30 рабочих дней со дня подписания акта: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 w:rsidR="00F20D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полученных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Волковский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lastRenderedPageBreak/>
        <w:t>сельсовет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3C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3CB9">
        <w:rPr>
          <w:rFonts w:ascii="Times New Roman" w:hAnsi="Times New Roman" w:cs="Times New Roman"/>
          <w:sz w:val="24"/>
          <w:szCs w:val="24"/>
        </w:rPr>
        <w:t>) контроля направляется запрос о предоставлении документов и информации об объекте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 в срок не более 30 рабочих дней со дня подписания акта: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, а также иных средств измерения и фиксации, в том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числе измерительных приборов.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1F3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Отчет по итогам работы за год предоставляется до 1 марта года, следующего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11.3. 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>Волковский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  <w:proofErr w:type="gramEnd"/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C23D72" w:rsidRPr="00AE3CB9" w:rsidRDefault="00C23D72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C23D72" w:rsidRPr="00AE3CB9" w:rsidSect="00A11F34">
      <w:pgSz w:w="11906" w:h="16838"/>
      <w:pgMar w:top="850" w:right="850" w:bottom="864" w:left="1584" w:header="706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EE" w:rsidRDefault="009551EE" w:rsidP="006C55B4">
      <w:pPr>
        <w:spacing w:after="0" w:line="240" w:lineRule="auto"/>
      </w:pPr>
      <w:r>
        <w:separator/>
      </w:r>
    </w:p>
  </w:endnote>
  <w:endnote w:type="continuationSeparator" w:id="0">
    <w:p w:rsidR="009551EE" w:rsidRDefault="009551EE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EE" w:rsidRDefault="009551EE" w:rsidP="006C55B4">
      <w:pPr>
        <w:spacing w:after="0" w:line="240" w:lineRule="auto"/>
      </w:pPr>
      <w:r>
        <w:separator/>
      </w:r>
    </w:p>
  </w:footnote>
  <w:footnote w:type="continuationSeparator" w:id="0">
    <w:p w:rsidR="009551EE" w:rsidRDefault="009551EE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842"/>
    <w:rsid w:val="000E6C67"/>
    <w:rsid w:val="000F645E"/>
    <w:rsid w:val="000F7300"/>
    <w:rsid w:val="001032CC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24D7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8506C"/>
    <w:rsid w:val="00894CE1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F3DA5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51EE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976AA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36AC"/>
    <w:rsid w:val="00A044A8"/>
    <w:rsid w:val="00A11F34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23CE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B7C6F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7740D"/>
    <w:rsid w:val="00D851DB"/>
    <w:rsid w:val="00D864C0"/>
    <w:rsid w:val="00D95BE1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0DB4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1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11F3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diakov.net</Company>
  <LinksUpToDate>false</LinksUpToDate>
  <CharactersWithSpaces>39036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Морозов</dc:creator>
  <cp:lastModifiedBy>user</cp:lastModifiedBy>
  <cp:revision>3</cp:revision>
  <cp:lastPrinted>2019-09-23T07:00:00Z</cp:lastPrinted>
  <dcterms:created xsi:type="dcterms:W3CDTF">2020-02-07T07:16:00Z</dcterms:created>
  <dcterms:modified xsi:type="dcterms:W3CDTF">2020-02-10T07:06:00Z</dcterms:modified>
</cp:coreProperties>
</file>